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6D" w:rsidRDefault="00181C6D" w:rsidP="00181C6D">
      <w:pPr>
        <w:spacing w:after="0" w:line="240" w:lineRule="auto"/>
        <w:jc w:val="both"/>
        <w:rPr>
          <w:rFonts w:ascii="Arial" w:eastAsia="Arial" w:hAnsi="Arial" w:cs="Arial"/>
          <w:b/>
        </w:rPr>
      </w:pPr>
      <w:r>
        <w:rPr>
          <w:rFonts w:ascii="Arial" w:eastAsia="Arial" w:hAnsi="Arial" w:cs="Arial"/>
          <w:b/>
        </w:rPr>
        <w:t>Hromadná pripomienka k materiálu  o problematike transformácie regiónu horná Nitra v súvislosti s návrhom všeobecného hospodárskeho záujmu na zabezpečenie bezpečnosti dodávok elektriny</w:t>
      </w:r>
    </w:p>
    <w:p w:rsidR="00181C6D" w:rsidRDefault="00181C6D" w:rsidP="00181C6D">
      <w:pPr>
        <w:jc w:val="both"/>
        <w:rPr>
          <w:rFonts w:ascii="Arial" w:eastAsia="Arial" w:hAnsi="Arial" w:cs="Arial"/>
        </w:rPr>
      </w:pPr>
      <w:bookmarkStart w:id="0" w:name="_GoBack"/>
      <w:bookmarkEnd w:id="0"/>
    </w:p>
    <w:p w:rsidR="00181C6D" w:rsidRDefault="00181C6D" w:rsidP="00181C6D">
      <w:pPr>
        <w:spacing w:after="0" w:line="276" w:lineRule="auto"/>
        <w:jc w:val="both"/>
        <w:rPr>
          <w:rFonts w:ascii="Arial" w:eastAsia="Arial" w:hAnsi="Arial" w:cs="Arial"/>
        </w:rPr>
      </w:pPr>
      <w:r>
        <w:rPr>
          <w:rFonts w:ascii="Arial" w:eastAsia="Arial" w:hAnsi="Arial" w:cs="Arial"/>
        </w:rPr>
        <w:t>Úplné znenie pripomienok:</w:t>
      </w:r>
    </w:p>
    <w:p w:rsidR="00181C6D" w:rsidRDefault="00181C6D" w:rsidP="00181C6D">
      <w:pPr>
        <w:spacing w:after="0" w:line="276" w:lineRule="auto"/>
        <w:jc w:val="both"/>
        <w:rPr>
          <w:rFonts w:ascii="Arial" w:eastAsia="Arial" w:hAnsi="Arial" w:cs="Arial"/>
        </w:rPr>
      </w:pPr>
    </w:p>
    <w:p w:rsidR="00181C6D" w:rsidRDefault="00181C6D" w:rsidP="00181C6D">
      <w:pPr>
        <w:numPr>
          <w:ilvl w:val="0"/>
          <w:numId w:val="1"/>
        </w:numPr>
        <w:pBdr>
          <w:top w:val="nil"/>
          <w:left w:val="nil"/>
          <w:bottom w:val="nil"/>
          <w:right w:val="nil"/>
          <w:between w:val="nil"/>
        </w:pBdr>
        <w:spacing w:after="0" w:line="276" w:lineRule="auto"/>
        <w:contextualSpacing/>
        <w:jc w:val="both"/>
        <w:rPr>
          <w:rFonts w:ascii="Arial" w:eastAsia="Arial" w:hAnsi="Arial" w:cs="Arial"/>
          <w:b/>
          <w:color w:val="000000"/>
        </w:rPr>
      </w:pPr>
      <w:r>
        <w:rPr>
          <w:rFonts w:ascii="Arial" w:eastAsia="Arial" w:hAnsi="Arial" w:cs="Arial"/>
          <w:b/>
          <w:color w:val="000000"/>
        </w:rPr>
        <w:t>Záväzný termín ukončenia ťažby a spaľovania uhlia</w:t>
      </w:r>
    </w:p>
    <w:p w:rsidR="00181C6D" w:rsidRDefault="00181C6D" w:rsidP="00181C6D">
      <w:pPr>
        <w:spacing w:after="0" w:line="276" w:lineRule="auto"/>
        <w:jc w:val="both"/>
        <w:rPr>
          <w:rFonts w:ascii="Arial" w:eastAsia="Arial" w:hAnsi="Arial" w:cs="Arial"/>
          <w:color w:val="000000"/>
        </w:rPr>
      </w:pPr>
    </w:p>
    <w:p w:rsidR="00181C6D" w:rsidRDefault="00181C6D" w:rsidP="00181C6D">
      <w:pPr>
        <w:jc w:val="both"/>
        <w:rPr>
          <w:rFonts w:ascii="Arial" w:eastAsia="Arial" w:hAnsi="Arial" w:cs="Arial"/>
          <w:color w:val="000000"/>
        </w:rPr>
      </w:pPr>
      <w:r>
        <w:rPr>
          <w:rFonts w:ascii="Arial" w:eastAsia="Arial" w:hAnsi="Arial" w:cs="Arial"/>
          <w:color w:val="000000"/>
        </w:rPr>
        <w:t>Navrhujeme do dokumentu doplniť odsek s uvedením záväzného termínu ukončenia ťažby uhlia do r. 2021 a ukončenia spaľovania uhlia na cel</w:t>
      </w:r>
      <w:r>
        <w:rPr>
          <w:rFonts w:ascii="Arial" w:eastAsia="Arial" w:hAnsi="Arial" w:cs="Arial"/>
        </w:rPr>
        <w:t xml:space="preserve">om Slovensku </w:t>
      </w:r>
      <w:r>
        <w:rPr>
          <w:rFonts w:ascii="Arial" w:eastAsia="Arial" w:hAnsi="Arial" w:cs="Arial"/>
          <w:color w:val="000000"/>
        </w:rPr>
        <w:t xml:space="preserve">do roku 2023. </w:t>
      </w:r>
    </w:p>
    <w:p w:rsidR="00181C6D" w:rsidRDefault="00181C6D" w:rsidP="00181C6D">
      <w:pPr>
        <w:jc w:val="both"/>
        <w:rPr>
          <w:rFonts w:ascii="Arial" w:eastAsia="Arial" w:hAnsi="Arial" w:cs="Arial"/>
          <w:b/>
          <w:color w:val="000000"/>
        </w:rPr>
      </w:pPr>
      <w:r>
        <w:rPr>
          <w:rFonts w:ascii="Arial" w:eastAsia="Arial" w:hAnsi="Arial" w:cs="Arial"/>
          <w:b/>
          <w:color w:val="000000"/>
        </w:rPr>
        <w:t>Odôvodnenie:</w:t>
      </w:r>
    </w:p>
    <w:p w:rsidR="00181C6D" w:rsidRDefault="00181C6D" w:rsidP="00181C6D">
      <w:pPr>
        <w:jc w:val="both"/>
        <w:rPr>
          <w:rFonts w:ascii="Arial" w:eastAsia="Arial" w:hAnsi="Arial" w:cs="Arial"/>
          <w:color w:val="000000"/>
        </w:rPr>
      </w:pPr>
      <w:r>
        <w:rPr>
          <w:rFonts w:ascii="Arial" w:eastAsia="Arial" w:hAnsi="Arial" w:cs="Arial"/>
          <w:color w:val="000000"/>
        </w:rPr>
        <w:t>Dokument neobsahuje termín ukončenia ťažby a spaľovania uhlia, od ktorého sa odvíja ďalší postup transformácie a plnenie klimatických cieľov Slovenska.</w:t>
      </w:r>
    </w:p>
    <w:p w:rsidR="00181C6D" w:rsidRDefault="00181C6D" w:rsidP="00181C6D">
      <w:pPr>
        <w:jc w:val="both"/>
        <w:rPr>
          <w:rFonts w:ascii="Arial" w:eastAsia="Arial" w:hAnsi="Arial" w:cs="Arial"/>
          <w:color w:val="333333"/>
        </w:rPr>
      </w:pPr>
      <w:r>
        <w:rPr>
          <w:rFonts w:ascii="Arial" w:eastAsia="Arial" w:hAnsi="Arial" w:cs="Arial"/>
          <w:color w:val="333333"/>
        </w:rPr>
        <w:t xml:space="preserve">Útlmom dotovania uhlia do roku 2021 môže Slovensko ušetriť až 345 miliónov eur počas najbližších piatich rokov (1). Útlm ťažby a spaľovania uhlia v Novákoch navyše zníži emisie skleníkových plynov Slovenska minimálne o šesť percent, a významne tak prispeje k plneniu jeho klimatických cieľov. </w:t>
      </w:r>
    </w:p>
    <w:p w:rsidR="00181C6D" w:rsidRDefault="00181C6D" w:rsidP="00181C6D">
      <w:pPr>
        <w:jc w:val="both"/>
        <w:rPr>
          <w:rFonts w:ascii="Arial" w:eastAsia="Arial" w:hAnsi="Arial" w:cs="Arial"/>
          <w:color w:val="333333"/>
        </w:rPr>
      </w:pPr>
      <w:r>
        <w:rPr>
          <w:rFonts w:ascii="Arial" w:eastAsia="Arial" w:hAnsi="Arial" w:cs="Arial"/>
          <w:color w:val="333333"/>
        </w:rPr>
        <w:t>Výskumné centrum Európskej komisie JRC vo svojej vedeckej správe uvádza rok 2023 ako najúspornejší scenár pre ukončenie ťažby a spaľovania uhlia s prínosmi viac ako 160 miliónov EUR ročne.</w:t>
      </w:r>
    </w:p>
    <w:p w:rsidR="00181C6D" w:rsidRDefault="00181C6D" w:rsidP="00181C6D">
      <w:pPr>
        <w:jc w:val="both"/>
        <w:rPr>
          <w:rFonts w:ascii="Arial" w:eastAsia="Arial" w:hAnsi="Arial" w:cs="Arial"/>
          <w:color w:val="000000"/>
          <w:highlight w:val="white"/>
        </w:rPr>
      </w:pPr>
      <w:r>
        <w:rPr>
          <w:rFonts w:ascii="Arial" w:eastAsia="Arial" w:hAnsi="Arial" w:cs="Arial"/>
          <w:color w:val="333333"/>
        </w:rPr>
        <w:t xml:space="preserve">Obávame </w:t>
      </w:r>
      <w:r>
        <w:rPr>
          <w:rFonts w:ascii="Arial" w:eastAsia="Arial" w:hAnsi="Arial" w:cs="Arial"/>
          <w:color w:val="000000"/>
          <w:highlight w:val="white"/>
        </w:rPr>
        <w:t>sa aj ďalšieho prevádzkového pokusu na treťom bloku elektrárne Nováky v rokoch 2016/2017, dôvodom čoho bola až desaťnásobne zhoršená kvalita ovzdušia v okolí.</w:t>
      </w:r>
    </w:p>
    <w:p w:rsidR="00181C6D" w:rsidRDefault="00181C6D" w:rsidP="00181C6D">
      <w:pPr>
        <w:pBdr>
          <w:top w:val="nil"/>
          <w:left w:val="nil"/>
          <w:bottom w:val="nil"/>
          <w:right w:val="nil"/>
          <w:between w:val="nil"/>
        </w:pBdr>
        <w:shd w:val="clear" w:color="auto" w:fill="FFFFFF"/>
        <w:spacing w:before="100" w:after="142" w:line="240" w:lineRule="auto"/>
        <w:jc w:val="both"/>
        <w:rPr>
          <w:rFonts w:ascii="Arial" w:eastAsia="Arial" w:hAnsi="Arial" w:cs="Arial"/>
          <w:color w:val="000000"/>
        </w:rPr>
      </w:pPr>
      <w:r>
        <w:rPr>
          <w:rFonts w:ascii="Arial" w:eastAsia="Arial" w:hAnsi="Arial" w:cs="Arial"/>
          <w:b/>
          <w:color w:val="000000"/>
        </w:rPr>
        <w:t>Pripomienka je zásadná</w:t>
      </w:r>
    </w:p>
    <w:p w:rsidR="00181C6D" w:rsidRDefault="00181C6D" w:rsidP="00181C6D">
      <w:pPr>
        <w:pBdr>
          <w:top w:val="nil"/>
          <w:left w:val="nil"/>
          <w:bottom w:val="nil"/>
          <w:right w:val="nil"/>
          <w:between w:val="nil"/>
        </w:pBdr>
        <w:shd w:val="clear" w:color="auto" w:fill="FFFFFF"/>
        <w:spacing w:before="100" w:after="142" w:line="240" w:lineRule="auto"/>
        <w:ind w:left="360"/>
        <w:jc w:val="both"/>
        <w:rPr>
          <w:rFonts w:ascii="Arial" w:eastAsia="Arial" w:hAnsi="Arial" w:cs="Arial"/>
          <w:color w:val="000000"/>
        </w:rPr>
      </w:pPr>
    </w:p>
    <w:p w:rsidR="00181C6D" w:rsidRDefault="00181C6D" w:rsidP="00181C6D">
      <w:pPr>
        <w:numPr>
          <w:ilvl w:val="0"/>
          <w:numId w:val="1"/>
        </w:numPr>
        <w:pBdr>
          <w:top w:val="nil"/>
          <w:left w:val="nil"/>
          <w:bottom w:val="nil"/>
          <w:right w:val="nil"/>
          <w:between w:val="nil"/>
        </w:pBdr>
        <w:spacing w:after="240" w:line="240" w:lineRule="auto"/>
        <w:jc w:val="both"/>
        <w:rPr>
          <w:rFonts w:ascii="Arial" w:eastAsia="Arial" w:hAnsi="Arial" w:cs="Arial"/>
          <w:b/>
          <w:color w:val="333333"/>
        </w:rPr>
      </w:pPr>
      <w:r>
        <w:rPr>
          <w:rFonts w:ascii="Arial" w:eastAsia="Arial" w:hAnsi="Arial" w:cs="Arial"/>
          <w:b/>
          <w:color w:val="333333"/>
        </w:rPr>
        <w:t>Plán transformácie regiónu Horná Nitra</w:t>
      </w:r>
    </w:p>
    <w:p w:rsidR="00181C6D" w:rsidRDefault="00181C6D" w:rsidP="00181C6D">
      <w:pPr>
        <w:pBdr>
          <w:top w:val="nil"/>
          <w:left w:val="nil"/>
          <w:bottom w:val="nil"/>
          <w:right w:val="nil"/>
          <w:between w:val="nil"/>
        </w:pBdr>
        <w:spacing w:after="240" w:line="240" w:lineRule="auto"/>
        <w:jc w:val="both"/>
        <w:rPr>
          <w:rFonts w:ascii="Arial" w:eastAsia="Arial" w:hAnsi="Arial" w:cs="Arial"/>
          <w:b/>
          <w:color w:val="333333"/>
        </w:rPr>
      </w:pPr>
      <w:r>
        <w:rPr>
          <w:rFonts w:ascii="Arial" w:eastAsia="Arial" w:hAnsi="Arial" w:cs="Arial"/>
          <w:b/>
          <w:color w:val="333333"/>
        </w:rPr>
        <w:t>Pripomienka k bodu:</w:t>
      </w:r>
    </w:p>
    <w:p w:rsidR="00181C6D" w:rsidRDefault="00181C6D" w:rsidP="00181C6D">
      <w:pPr>
        <w:spacing w:line="276" w:lineRule="auto"/>
        <w:jc w:val="both"/>
        <w:rPr>
          <w:rFonts w:ascii="Arial" w:eastAsia="Arial" w:hAnsi="Arial" w:cs="Arial"/>
        </w:rPr>
      </w:pPr>
      <w:r>
        <w:rPr>
          <w:rFonts w:ascii="Arial" w:eastAsia="Arial" w:hAnsi="Arial" w:cs="Arial"/>
        </w:rPr>
        <w:t xml:space="preserve">Str. 11. </w:t>
      </w:r>
      <w:r>
        <w:rPr>
          <w:rFonts w:ascii="Arial" w:eastAsia="Arial" w:hAnsi="Arial" w:cs="Arial"/>
          <w:b/>
        </w:rPr>
        <w:t>Pôvodné znenie</w:t>
      </w:r>
      <w:r>
        <w:rPr>
          <w:rFonts w:ascii="Arial" w:eastAsia="Arial" w:hAnsi="Arial" w:cs="Arial"/>
        </w:rPr>
        <w:t>: Nižšie popísané projekty v rámci skupiny HBz, a. s. predstavujú možné nástroje na udržanie zamestnanosti. Pre realizáciu ďalších projektov je nevyhnutné získanie podpory napr. formou stimulov. Ide o nasledovné projekty: ...</w:t>
      </w:r>
    </w:p>
    <w:p w:rsidR="00181C6D" w:rsidRDefault="00181C6D" w:rsidP="00181C6D">
      <w:pPr>
        <w:pBdr>
          <w:top w:val="nil"/>
          <w:left w:val="nil"/>
          <w:bottom w:val="nil"/>
          <w:right w:val="nil"/>
          <w:between w:val="nil"/>
        </w:pBdr>
        <w:spacing w:after="240" w:line="276" w:lineRule="auto"/>
        <w:jc w:val="both"/>
        <w:rPr>
          <w:rFonts w:ascii="Arial" w:eastAsia="Arial" w:hAnsi="Arial" w:cs="Arial"/>
          <w:color w:val="000000"/>
        </w:rPr>
      </w:pPr>
      <w:r>
        <w:rPr>
          <w:rFonts w:ascii="Arial" w:eastAsia="Arial" w:hAnsi="Arial" w:cs="Arial"/>
          <w:color w:val="000000"/>
        </w:rPr>
        <w:t>Navrhujeme z dokumentu odstrániť celý odsek možnosti projektov  v pôvodnom znení.</w:t>
      </w:r>
    </w:p>
    <w:p w:rsidR="00181C6D" w:rsidRDefault="00181C6D" w:rsidP="00181C6D">
      <w:pPr>
        <w:jc w:val="both"/>
        <w:rPr>
          <w:rFonts w:ascii="Arial" w:eastAsia="Arial" w:hAnsi="Arial" w:cs="Arial"/>
          <w:b/>
          <w:color w:val="000000"/>
        </w:rPr>
      </w:pPr>
      <w:r>
        <w:rPr>
          <w:rFonts w:ascii="Arial" w:eastAsia="Arial" w:hAnsi="Arial" w:cs="Arial"/>
          <w:b/>
          <w:color w:val="000000"/>
        </w:rPr>
        <w:t>Odôvodnenie:</w:t>
      </w:r>
    </w:p>
    <w:p w:rsidR="00181C6D" w:rsidRDefault="00181C6D" w:rsidP="00181C6D">
      <w:pPr>
        <w:pBdr>
          <w:top w:val="nil"/>
          <w:left w:val="nil"/>
          <w:bottom w:val="nil"/>
          <w:right w:val="nil"/>
          <w:between w:val="nil"/>
        </w:pBdr>
        <w:spacing w:after="240" w:line="240" w:lineRule="auto"/>
        <w:jc w:val="both"/>
        <w:rPr>
          <w:rFonts w:ascii="Arial" w:eastAsia="Arial" w:hAnsi="Arial" w:cs="Arial"/>
          <w:color w:val="333333"/>
        </w:rPr>
      </w:pPr>
      <w:r>
        <w:rPr>
          <w:rFonts w:ascii="Arial" w:eastAsia="Arial" w:hAnsi="Arial" w:cs="Arial"/>
          <w:color w:val="000000"/>
        </w:rPr>
        <w:t>Dokument obsahuje špecifický zoznam projektov stavaných pre skupinu HBz, a. s., avšak transformácia regiónu nemôže byť postavená na projektoch viazaných len pre jednu súkromnú firmu a jej partne</w:t>
      </w:r>
      <w:r>
        <w:rPr>
          <w:rFonts w:ascii="Arial" w:eastAsia="Arial" w:hAnsi="Arial" w:cs="Arial"/>
        </w:rPr>
        <w:t>rov</w:t>
      </w:r>
      <w:r>
        <w:rPr>
          <w:rFonts w:ascii="Arial" w:eastAsia="Arial" w:hAnsi="Arial" w:cs="Arial"/>
          <w:color w:val="000000"/>
        </w:rPr>
        <w:t xml:space="preserve">. Navyše pri navrhnutých projektoch  nie sú uvedené počty novovzniknutých pracovných miest, preto sa nedá posúdiť účelnosť v rámci nezamestnanosti baníkov. Miestne orgány riadili participatívny proces vytvorenia akčného plánu na presun obcí a regiónu mimo baníckeho odvetvia. Máme za to, že je potrebné podporiť všeobecne najlepšie projekty na tvorbu udržateľných pracovných príležitostí </w:t>
      </w:r>
      <w:r>
        <w:rPr>
          <w:rFonts w:ascii="Arial" w:eastAsia="Arial" w:hAnsi="Arial" w:cs="Arial"/>
          <w:color w:val="333333"/>
        </w:rPr>
        <w:t>na základe pilierov a priorít v návrhu Akčného plánu pre transformáciu regiónu hornej Nitry.</w:t>
      </w:r>
    </w:p>
    <w:p w:rsidR="00181C6D" w:rsidRDefault="00181C6D" w:rsidP="00181C6D">
      <w:pPr>
        <w:pBdr>
          <w:top w:val="nil"/>
          <w:left w:val="nil"/>
          <w:bottom w:val="nil"/>
          <w:right w:val="nil"/>
          <w:between w:val="nil"/>
        </w:pBdr>
        <w:shd w:val="clear" w:color="auto" w:fill="FFFFFF"/>
        <w:spacing w:before="100" w:after="142" w:line="240" w:lineRule="auto"/>
        <w:jc w:val="both"/>
        <w:rPr>
          <w:rFonts w:ascii="Arial" w:eastAsia="Arial" w:hAnsi="Arial" w:cs="Arial"/>
          <w:b/>
          <w:color w:val="000000"/>
        </w:rPr>
      </w:pPr>
      <w:r>
        <w:rPr>
          <w:rFonts w:ascii="Arial" w:eastAsia="Arial" w:hAnsi="Arial" w:cs="Arial"/>
          <w:b/>
          <w:color w:val="000000"/>
        </w:rPr>
        <w:t>Pripomienka je zásadná</w:t>
      </w:r>
    </w:p>
    <w:p w:rsidR="00181C6D" w:rsidRDefault="00181C6D" w:rsidP="00181C6D">
      <w:pPr>
        <w:jc w:val="both"/>
        <w:rPr>
          <w:rFonts w:ascii="Arial" w:eastAsia="Arial" w:hAnsi="Arial" w:cs="Arial"/>
          <w:color w:val="333333"/>
        </w:rPr>
      </w:pPr>
    </w:p>
    <w:p w:rsidR="00181C6D" w:rsidRDefault="00181C6D" w:rsidP="00181C6D">
      <w:pPr>
        <w:numPr>
          <w:ilvl w:val="0"/>
          <w:numId w:val="1"/>
        </w:numPr>
        <w:pBdr>
          <w:top w:val="nil"/>
          <w:left w:val="nil"/>
          <w:bottom w:val="nil"/>
          <w:right w:val="nil"/>
          <w:between w:val="nil"/>
        </w:pBdr>
        <w:spacing w:after="0"/>
        <w:ind w:left="426"/>
        <w:contextualSpacing/>
        <w:jc w:val="both"/>
        <w:rPr>
          <w:rFonts w:ascii="Arial" w:eastAsia="Arial" w:hAnsi="Arial" w:cs="Arial"/>
          <w:b/>
          <w:color w:val="000000"/>
        </w:rPr>
      </w:pPr>
      <w:r>
        <w:rPr>
          <w:rFonts w:ascii="Arial" w:eastAsia="Arial" w:hAnsi="Arial" w:cs="Arial"/>
          <w:b/>
          <w:color w:val="000000"/>
        </w:rPr>
        <w:lastRenderedPageBreak/>
        <w:t>Ukončenie dotácií v rámci Všeobecného hospodárskeho záujmu prenesené do cien elektriny</w:t>
      </w:r>
    </w:p>
    <w:p w:rsidR="00181C6D" w:rsidRDefault="00181C6D" w:rsidP="00181C6D">
      <w:pPr>
        <w:pBdr>
          <w:top w:val="nil"/>
          <w:left w:val="nil"/>
          <w:bottom w:val="nil"/>
          <w:right w:val="nil"/>
          <w:between w:val="nil"/>
        </w:pBdr>
        <w:spacing w:after="0"/>
        <w:ind w:left="720" w:hanging="720"/>
        <w:jc w:val="both"/>
        <w:rPr>
          <w:rFonts w:ascii="Arial" w:eastAsia="Arial" w:hAnsi="Arial" w:cs="Arial"/>
          <w:b/>
          <w:color w:val="000000"/>
        </w:rPr>
      </w:pPr>
    </w:p>
    <w:p w:rsidR="00181C6D" w:rsidRDefault="00181C6D" w:rsidP="00181C6D">
      <w:pPr>
        <w:pBdr>
          <w:top w:val="nil"/>
          <w:left w:val="nil"/>
          <w:bottom w:val="nil"/>
          <w:right w:val="nil"/>
          <w:between w:val="nil"/>
        </w:pBdr>
        <w:spacing w:after="0"/>
        <w:ind w:hanging="720"/>
        <w:jc w:val="both"/>
        <w:rPr>
          <w:rFonts w:ascii="Arial" w:eastAsia="Arial" w:hAnsi="Arial" w:cs="Arial"/>
          <w:color w:val="000000"/>
        </w:rPr>
      </w:pPr>
      <w:r>
        <w:rPr>
          <w:rFonts w:ascii="Arial" w:eastAsia="Arial" w:hAnsi="Arial" w:cs="Arial"/>
          <w:color w:val="000000"/>
        </w:rPr>
        <w:t>Požadujeme, aby sa ukončenie dotácií uhlia prejavilo v koncovej cene elektriny pre spotrebiteľov.</w:t>
      </w:r>
    </w:p>
    <w:p w:rsidR="00181C6D" w:rsidRDefault="00181C6D" w:rsidP="00181C6D">
      <w:pPr>
        <w:pBdr>
          <w:top w:val="nil"/>
          <w:left w:val="nil"/>
          <w:bottom w:val="nil"/>
          <w:right w:val="nil"/>
          <w:between w:val="nil"/>
        </w:pBdr>
        <w:spacing w:after="0"/>
        <w:ind w:hanging="720"/>
        <w:jc w:val="both"/>
        <w:rPr>
          <w:rFonts w:ascii="Arial" w:eastAsia="Arial" w:hAnsi="Arial" w:cs="Arial"/>
          <w:color w:val="000000"/>
        </w:rPr>
      </w:pPr>
    </w:p>
    <w:p w:rsidR="00181C6D" w:rsidRDefault="00181C6D" w:rsidP="00181C6D">
      <w:pPr>
        <w:pBdr>
          <w:top w:val="nil"/>
          <w:left w:val="nil"/>
          <w:bottom w:val="nil"/>
          <w:right w:val="nil"/>
          <w:between w:val="nil"/>
        </w:pBdr>
        <w:ind w:hanging="720"/>
        <w:jc w:val="both"/>
        <w:rPr>
          <w:rFonts w:ascii="Arial" w:eastAsia="Arial" w:hAnsi="Arial" w:cs="Arial"/>
          <w:b/>
          <w:color w:val="000000"/>
        </w:rPr>
      </w:pPr>
      <w:r>
        <w:rPr>
          <w:rFonts w:ascii="Arial" w:eastAsia="Arial" w:hAnsi="Arial" w:cs="Arial"/>
          <w:b/>
          <w:color w:val="000000"/>
        </w:rPr>
        <w:t xml:space="preserve">Odôvodnenie: </w:t>
      </w:r>
    </w:p>
    <w:p w:rsidR="00181C6D" w:rsidRDefault="00181C6D" w:rsidP="00181C6D">
      <w:pPr>
        <w:pBdr>
          <w:top w:val="nil"/>
          <w:left w:val="nil"/>
          <w:bottom w:val="nil"/>
          <w:right w:val="nil"/>
          <w:between w:val="nil"/>
        </w:pBdr>
        <w:spacing w:after="240" w:line="240" w:lineRule="auto"/>
        <w:jc w:val="both"/>
        <w:rPr>
          <w:rFonts w:ascii="Arial" w:eastAsia="Arial" w:hAnsi="Arial" w:cs="Arial"/>
          <w:color w:val="333333"/>
        </w:rPr>
      </w:pPr>
      <w:r>
        <w:rPr>
          <w:rFonts w:ascii="Arial" w:eastAsia="Arial" w:hAnsi="Arial" w:cs="Arial"/>
          <w:color w:val="333333"/>
        </w:rPr>
        <w:t xml:space="preserve">Koncom leta sa zvýšili ceny emisií. Na Slovensku však Úrad pre reguláciu sieťových odvetví neznížil zisky súkromnej uhoľnej firme HBP, ale prostredníctvom tarify za prevádzkovanie systému zvýšil cenu elektriny všetkým ľuďom. Slovenské domácnosti platia najväčšiu časť svojich príjmov za energie zo všetkých krajín EÚ. Ako ukazuje tabuľka </w:t>
      </w:r>
      <w:hyperlink r:id="rId6">
        <w:r>
          <w:rPr>
            <w:rFonts w:ascii="Arial" w:eastAsia="Arial" w:hAnsi="Arial" w:cs="Arial"/>
            <w:color w:val="1155CC"/>
            <w:u w:val="single"/>
          </w:rPr>
          <w:t>Podiel výdavkov domácností na energiu podľa príjmových skupín (2014) [Európska Komisia: Ceny a náklady na energiu v Európe, 2016]</w:t>
        </w:r>
      </w:hyperlink>
      <w:r>
        <w:rPr>
          <w:rFonts w:ascii="Arial" w:eastAsia="Arial" w:hAnsi="Arial" w:cs="Arial"/>
          <w:color w:val="333333"/>
        </w:rPr>
        <w:t xml:space="preserve"> (1), na energie dávame až 14,5 percenta príjmov. U nízkopríjmových skupín je to viac ako pätina.</w:t>
      </w:r>
    </w:p>
    <w:p w:rsidR="00181C6D" w:rsidRDefault="00181C6D" w:rsidP="00181C6D">
      <w:pPr>
        <w:pBdr>
          <w:top w:val="nil"/>
          <w:left w:val="nil"/>
          <w:bottom w:val="nil"/>
          <w:right w:val="nil"/>
          <w:between w:val="nil"/>
        </w:pBdr>
        <w:shd w:val="clear" w:color="auto" w:fill="FFFFFF"/>
        <w:spacing w:before="100" w:after="142" w:line="240" w:lineRule="auto"/>
        <w:ind w:left="360"/>
        <w:jc w:val="both"/>
        <w:rPr>
          <w:rFonts w:ascii="Arial" w:eastAsia="Arial" w:hAnsi="Arial" w:cs="Arial"/>
          <w:color w:val="000000"/>
        </w:rPr>
      </w:pPr>
      <w:r>
        <w:rPr>
          <w:rFonts w:ascii="Arial" w:eastAsia="Arial" w:hAnsi="Arial" w:cs="Arial"/>
          <w:b/>
          <w:color w:val="000000"/>
        </w:rPr>
        <w:t>Pripomienka je zásadná</w:t>
      </w:r>
    </w:p>
    <w:p w:rsidR="00181C6D" w:rsidRDefault="00181C6D" w:rsidP="00181C6D">
      <w:pPr>
        <w:pBdr>
          <w:top w:val="nil"/>
          <w:left w:val="nil"/>
          <w:bottom w:val="nil"/>
          <w:right w:val="nil"/>
          <w:between w:val="nil"/>
        </w:pBdr>
        <w:spacing w:after="240" w:line="240" w:lineRule="auto"/>
        <w:ind w:left="720"/>
        <w:jc w:val="both"/>
        <w:rPr>
          <w:rFonts w:ascii="Arial" w:eastAsia="Arial" w:hAnsi="Arial" w:cs="Arial"/>
          <w:color w:val="333333"/>
        </w:rPr>
      </w:pPr>
    </w:p>
    <w:p w:rsidR="00181C6D" w:rsidRDefault="00181C6D" w:rsidP="00181C6D">
      <w:pPr>
        <w:numPr>
          <w:ilvl w:val="0"/>
          <w:numId w:val="1"/>
        </w:numPr>
        <w:pBdr>
          <w:top w:val="nil"/>
          <w:left w:val="nil"/>
          <w:bottom w:val="nil"/>
          <w:right w:val="nil"/>
          <w:between w:val="nil"/>
        </w:pBdr>
        <w:spacing w:after="240" w:line="240" w:lineRule="auto"/>
        <w:ind w:left="426"/>
        <w:jc w:val="both"/>
        <w:rPr>
          <w:rFonts w:ascii="Arial" w:eastAsia="Arial" w:hAnsi="Arial" w:cs="Arial"/>
          <w:b/>
          <w:color w:val="333333"/>
        </w:rPr>
      </w:pPr>
      <w:r>
        <w:rPr>
          <w:rFonts w:ascii="Arial" w:eastAsia="Arial" w:hAnsi="Arial" w:cs="Arial"/>
          <w:b/>
          <w:color w:val="333333"/>
        </w:rPr>
        <w:t>Dokument neberie do úvahy vplyvy na životné prostredie, ochranu klímy a zdravia ako dôležitý verejný záujem</w:t>
      </w:r>
    </w:p>
    <w:p w:rsidR="00181C6D" w:rsidRDefault="00181C6D" w:rsidP="00181C6D">
      <w:pPr>
        <w:spacing w:line="276" w:lineRule="auto"/>
        <w:jc w:val="both"/>
        <w:rPr>
          <w:rFonts w:ascii="Arial" w:eastAsia="Arial" w:hAnsi="Arial" w:cs="Arial"/>
          <w:color w:val="000000"/>
          <w:highlight w:val="white"/>
        </w:rPr>
      </w:pPr>
      <w:r>
        <w:rPr>
          <w:rFonts w:ascii="Arial" w:eastAsia="Arial" w:hAnsi="Arial" w:cs="Arial"/>
          <w:color w:val="333333"/>
        </w:rPr>
        <w:t xml:space="preserve">Navrhujeme doplniť požiadavky na každoročný pokles emisií, zobrať do úvahy vplyvy na životné prostredie </w:t>
      </w:r>
      <w:r>
        <w:rPr>
          <w:rFonts w:ascii="Arial" w:eastAsia="Arial" w:hAnsi="Arial" w:cs="Arial"/>
          <w:b/>
        </w:rPr>
        <w:t>bezpečnosť života a ochranu zdravia ľudí</w:t>
      </w:r>
      <w:r>
        <w:rPr>
          <w:rFonts w:ascii="Arial" w:eastAsia="Arial" w:hAnsi="Arial" w:cs="Arial"/>
        </w:rPr>
        <w:t xml:space="preserve">. </w:t>
      </w:r>
    </w:p>
    <w:p w:rsidR="00181C6D" w:rsidRDefault="00181C6D" w:rsidP="00181C6D">
      <w:pPr>
        <w:pBdr>
          <w:top w:val="nil"/>
          <w:left w:val="nil"/>
          <w:bottom w:val="nil"/>
          <w:right w:val="nil"/>
          <w:between w:val="nil"/>
        </w:pBdr>
        <w:spacing w:after="240" w:line="240" w:lineRule="auto"/>
        <w:ind w:left="360"/>
        <w:jc w:val="both"/>
        <w:rPr>
          <w:rFonts w:ascii="Arial" w:eastAsia="Arial" w:hAnsi="Arial" w:cs="Arial"/>
          <w:b/>
          <w:color w:val="333333"/>
        </w:rPr>
      </w:pPr>
      <w:r>
        <w:rPr>
          <w:rFonts w:ascii="Arial" w:eastAsia="Arial" w:hAnsi="Arial" w:cs="Arial"/>
          <w:b/>
          <w:color w:val="333333"/>
        </w:rPr>
        <w:t xml:space="preserve">Odôvodnenie: </w:t>
      </w:r>
    </w:p>
    <w:p w:rsidR="00181C6D" w:rsidRDefault="00181C6D" w:rsidP="00181C6D">
      <w:pPr>
        <w:pBdr>
          <w:top w:val="nil"/>
          <w:left w:val="nil"/>
          <w:bottom w:val="nil"/>
          <w:right w:val="nil"/>
          <w:between w:val="nil"/>
        </w:pBdr>
        <w:spacing w:after="0" w:line="276" w:lineRule="auto"/>
        <w:jc w:val="both"/>
        <w:rPr>
          <w:rFonts w:ascii="Arial" w:eastAsia="Arial" w:hAnsi="Arial" w:cs="Arial"/>
          <w:color w:val="333333"/>
        </w:rPr>
      </w:pPr>
      <w:r>
        <w:rPr>
          <w:rFonts w:ascii="Arial" w:eastAsia="Arial" w:hAnsi="Arial" w:cs="Arial"/>
          <w:color w:val="333333"/>
        </w:rPr>
        <w:t>Materiál nedefinuje znižovanie spaľovania uhlia ako základnú podmienku znižovania emisií v rámci ochrany klímy, životného prostredia a následne bezpečnosť a ochranu zdravia ľudí.</w:t>
      </w:r>
    </w:p>
    <w:p w:rsidR="00181C6D" w:rsidRDefault="00181C6D" w:rsidP="00181C6D">
      <w:pPr>
        <w:jc w:val="both"/>
        <w:rPr>
          <w:rFonts w:ascii="Arial" w:eastAsia="Arial" w:hAnsi="Arial" w:cs="Arial"/>
          <w:color w:val="000000"/>
          <w:highlight w:val="white"/>
        </w:rPr>
      </w:pPr>
      <w:r>
        <w:rPr>
          <w:rFonts w:ascii="Arial" w:eastAsia="Arial" w:hAnsi="Arial" w:cs="Arial"/>
          <w:color w:val="333333"/>
        </w:rPr>
        <w:t xml:space="preserve">Podľa banského zákona </w:t>
      </w:r>
      <w:r>
        <w:rPr>
          <w:rFonts w:ascii="Arial" w:eastAsia="Arial" w:hAnsi="Arial" w:cs="Arial"/>
        </w:rPr>
        <w:t xml:space="preserve">č. 44/1988 Zb. o ochrane a využití nerastného bohatstva sa dobývanie výhradného ložiska nesmie zastaviť, kým sa nezabezpečí, že jeho neskoršie dobývanie bude technicky možné a hospodársky účelné a bezpečné, </w:t>
      </w:r>
      <w:r>
        <w:rPr>
          <w:rFonts w:ascii="Arial" w:eastAsia="Arial" w:hAnsi="Arial" w:cs="Arial"/>
          <w:b/>
        </w:rPr>
        <w:t>ledaže by zastavenie dobývania vyžadoval dôležitý verejný záujem, predovšetkým bezpečnosť života alebo ochrana zdravia ľudí</w:t>
      </w:r>
      <w:r>
        <w:rPr>
          <w:rFonts w:ascii="Arial" w:eastAsia="Arial" w:hAnsi="Arial" w:cs="Arial"/>
        </w:rPr>
        <w:t xml:space="preserve">. </w:t>
      </w:r>
    </w:p>
    <w:p w:rsidR="00181C6D" w:rsidRDefault="00181C6D" w:rsidP="00181C6D">
      <w:pPr>
        <w:spacing w:after="330" w:line="276" w:lineRule="auto"/>
        <w:jc w:val="both"/>
        <w:rPr>
          <w:rFonts w:ascii="Arial" w:eastAsia="Arial" w:hAnsi="Arial" w:cs="Arial"/>
          <w:color w:val="333333"/>
        </w:rPr>
      </w:pPr>
      <w:r>
        <w:rPr>
          <w:rFonts w:ascii="Arial" w:eastAsia="Arial" w:hAnsi="Arial" w:cs="Arial"/>
          <w:color w:val="333333"/>
        </w:rPr>
        <w:t>Znečistenie ovzdušia predstavuje podľa Svetovej zdravotníckej organizácie (WHO) jeden z najrizikovejších vplyvov na naše zdravie.</w:t>
      </w:r>
      <w:r>
        <w:rPr>
          <w:rFonts w:ascii="Arial" w:eastAsia="Arial" w:hAnsi="Arial" w:cs="Arial"/>
        </w:rPr>
        <w:t xml:space="preserve"> </w:t>
      </w:r>
      <w:r>
        <w:rPr>
          <w:rFonts w:ascii="Arial" w:eastAsia="Arial" w:hAnsi="Arial" w:cs="Arial"/>
          <w:color w:val="333333"/>
        </w:rPr>
        <w:t>Kotle elektrárne Nováky sú dlhodobo na najhorších priečkach najmä pri vypúšťaní oxidov síry a oxidov dusíka. Spaľovanie uhlia spôsobuje predčasné úmrtia, ochorenia ako chronická bronchitída alebo astmu u detí.</w:t>
      </w:r>
      <w:r>
        <w:rPr>
          <w:rFonts w:ascii="Arial" w:eastAsia="Arial" w:hAnsi="Arial" w:cs="Arial"/>
        </w:rPr>
        <w:t xml:space="preserve"> </w:t>
      </w:r>
      <w:r>
        <w:rPr>
          <w:rFonts w:ascii="Arial" w:eastAsia="Arial" w:hAnsi="Arial" w:cs="Arial"/>
          <w:color w:val="333333"/>
        </w:rPr>
        <w:t>V marci tohto roku HBP tiež znečistili rybársky revír „Ťakov potok“, za čo tejto súkromnej firme hrozí pokuta až do výšky 165 tisíc eur. Navyše Vedci z Medzivládneho panelu pre klimatickú zmenu nás upozorňujú, že máme len niekoľko rokov na to, aby sme zabránili katastrofickej zmene klímy. V prvom rade v energetike potrebujeme znížiť spotrebu uhlia na nulu, pretože ide o klimaticky najhoršie palivo.</w:t>
      </w:r>
    </w:p>
    <w:p w:rsidR="00181C6D" w:rsidRDefault="00181C6D" w:rsidP="00181C6D">
      <w:pPr>
        <w:pBdr>
          <w:top w:val="nil"/>
          <w:left w:val="nil"/>
          <w:bottom w:val="nil"/>
          <w:right w:val="nil"/>
          <w:between w:val="nil"/>
        </w:pBdr>
        <w:shd w:val="clear" w:color="auto" w:fill="FFFFFF"/>
        <w:spacing w:before="100" w:after="142" w:line="240" w:lineRule="auto"/>
        <w:ind w:left="360"/>
        <w:jc w:val="both"/>
        <w:rPr>
          <w:rFonts w:ascii="Arial" w:eastAsia="Arial" w:hAnsi="Arial" w:cs="Arial"/>
          <w:b/>
          <w:color w:val="000000"/>
        </w:rPr>
      </w:pPr>
      <w:r>
        <w:rPr>
          <w:rFonts w:ascii="Arial" w:eastAsia="Arial" w:hAnsi="Arial" w:cs="Arial"/>
          <w:b/>
          <w:color w:val="000000"/>
        </w:rPr>
        <w:t>Pripomienka je zásadná</w:t>
      </w:r>
    </w:p>
    <w:p w:rsidR="00181C6D" w:rsidRDefault="00181C6D" w:rsidP="00181C6D">
      <w:pPr>
        <w:jc w:val="both"/>
        <w:rPr>
          <w:rFonts w:ascii="Arial" w:eastAsia="Arial" w:hAnsi="Arial" w:cs="Arial"/>
          <w:color w:val="000000"/>
        </w:rPr>
      </w:pPr>
      <w:r>
        <w:rPr>
          <w:rFonts w:ascii="Arial" w:eastAsia="Arial" w:hAnsi="Arial" w:cs="Arial"/>
          <w:color w:val="000000"/>
        </w:rPr>
        <w:t>.</w:t>
      </w:r>
    </w:p>
    <w:p w:rsidR="00181C6D" w:rsidRDefault="00181C6D" w:rsidP="00181C6D">
      <w:pPr>
        <w:numPr>
          <w:ilvl w:val="0"/>
          <w:numId w:val="1"/>
        </w:numPr>
        <w:pBdr>
          <w:top w:val="nil"/>
          <w:left w:val="nil"/>
          <w:bottom w:val="nil"/>
          <w:right w:val="nil"/>
          <w:between w:val="nil"/>
        </w:pBdr>
        <w:spacing w:after="0" w:line="276" w:lineRule="auto"/>
        <w:contextualSpacing/>
        <w:jc w:val="both"/>
        <w:rPr>
          <w:rFonts w:ascii="Arial" w:eastAsia="Arial" w:hAnsi="Arial" w:cs="Arial"/>
          <w:b/>
          <w:color w:val="000000"/>
        </w:rPr>
      </w:pPr>
      <w:r>
        <w:rPr>
          <w:rFonts w:ascii="Arial" w:eastAsia="Arial" w:hAnsi="Arial" w:cs="Arial"/>
          <w:b/>
          <w:color w:val="000000"/>
        </w:rPr>
        <w:t>Pripomienka k bodu:</w:t>
      </w:r>
    </w:p>
    <w:p w:rsidR="00181C6D" w:rsidRDefault="00181C6D" w:rsidP="00181C6D">
      <w:pPr>
        <w:keepNext/>
        <w:spacing w:before="240" w:after="0" w:line="276" w:lineRule="auto"/>
        <w:jc w:val="both"/>
        <w:rPr>
          <w:rFonts w:ascii="Arial" w:eastAsia="Arial" w:hAnsi="Arial" w:cs="Arial"/>
        </w:rPr>
      </w:pPr>
      <w:r>
        <w:rPr>
          <w:rFonts w:ascii="Arial" w:eastAsia="Arial" w:hAnsi="Arial" w:cs="Arial"/>
          <w:color w:val="000000"/>
        </w:rPr>
        <w:lastRenderedPageBreak/>
        <w:t>Str.1</w:t>
      </w:r>
      <w:r>
        <w:rPr>
          <w:rFonts w:ascii="Arial" w:eastAsia="Arial" w:hAnsi="Arial" w:cs="Arial"/>
          <w:b/>
          <w:color w:val="000000"/>
        </w:rPr>
        <w:t xml:space="preserve"> Pôvodné znenie</w:t>
      </w:r>
      <w:r>
        <w:rPr>
          <w:rFonts w:ascii="Arial" w:eastAsia="Arial" w:hAnsi="Arial" w:cs="Arial"/>
          <w:color w:val="000000"/>
        </w:rPr>
        <w:t> </w:t>
      </w:r>
      <w:r>
        <w:rPr>
          <w:rFonts w:ascii="Arial" w:eastAsia="Arial" w:hAnsi="Arial" w:cs="Arial"/>
        </w:rPr>
        <w:t xml:space="preserve"> Tento prístup je v súlade s energetickou politikou EÚ a na politiku transformácie uhoľných regiónov, ktoré   boli zaradené v rámci iniciatívy „Čistá energia pre všetkých Európanov“.</w:t>
      </w:r>
    </w:p>
    <w:p w:rsidR="00181C6D" w:rsidRDefault="00181C6D" w:rsidP="00181C6D">
      <w:pPr>
        <w:pBdr>
          <w:top w:val="nil"/>
          <w:left w:val="nil"/>
          <w:bottom w:val="nil"/>
          <w:right w:val="nil"/>
          <w:between w:val="nil"/>
        </w:pBdr>
        <w:shd w:val="clear" w:color="auto" w:fill="FFFFFF"/>
        <w:spacing w:before="100" w:after="0" w:line="276" w:lineRule="auto"/>
        <w:jc w:val="both"/>
        <w:rPr>
          <w:rFonts w:ascii="Arial" w:eastAsia="Arial" w:hAnsi="Arial" w:cs="Arial"/>
          <w:color w:val="000000"/>
        </w:rPr>
      </w:pPr>
      <w:r>
        <w:rPr>
          <w:rFonts w:ascii="Arial" w:eastAsia="Arial" w:hAnsi="Arial" w:cs="Arial"/>
          <w:color w:val="000000"/>
        </w:rPr>
        <w:t>Navrhujeme vetu vypustiť. </w:t>
      </w:r>
    </w:p>
    <w:p w:rsidR="00181C6D" w:rsidRDefault="00181C6D" w:rsidP="00181C6D">
      <w:pPr>
        <w:pBdr>
          <w:top w:val="nil"/>
          <w:left w:val="nil"/>
          <w:bottom w:val="nil"/>
          <w:right w:val="nil"/>
          <w:between w:val="nil"/>
        </w:pBdr>
        <w:shd w:val="clear" w:color="auto" w:fill="FFFFFF"/>
        <w:spacing w:before="100" w:after="0" w:line="276" w:lineRule="auto"/>
        <w:jc w:val="both"/>
        <w:rPr>
          <w:rFonts w:ascii="Arial" w:eastAsia="Arial" w:hAnsi="Arial" w:cs="Arial"/>
          <w:color w:val="000000"/>
        </w:rPr>
      </w:pPr>
      <w:r>
        <w:rPr>
          <w:rFonts w:ascii="Arial" w:eastAsia="Arial" w:hAnsi="Arial" w:cs="Arial"/>
          <w:b/>
          <w:color w:val="000000"/>
        </w:rPr>
        <w:t>Odôvodnenie:</w:t>
      </w:r>
    </w:p>
    <w:p w:rsidR="00181C6D" w:rsidRDefault="00181C6D" w:rsidP="00181C6D">
      <w:pPr>
        <w:pBdr>
          <w:top w:val="nil"/>
          <w:left w:val="nil"/>
          <w:bottom w:val="nil"/>
          <w:right w:val="nil"/>
          <w:between w:val="nil"/>
        </w:pBdr>
        <w:shd w:val="clear" w:color="auto" w:fill="FFFFFF"/>
        <w:spacing w:after="0" w:line="276" w:lineRule="auto"/>
        <w:jc w:val="both"/>
        <w:rPr>
          <w:rFonts w:ascii="Arial" w:eastAsia="Arial" w:hAnsi="Arial" w:cs="Arial"/>
          <w:b/>
          <w:color w:val="000000"/>
        </w:rPr>
      </w:pPr>
      <w:r>
        <w:rPr>
          <w:rFonts w:ascii="Arial" w:eastAsia="Arial" w:hAnsi="Arial" w:cs="Arial"/>
        </w:rPr>
        <w:t xml:space="preserve">Dotovanie elektriny z uhlia - </w:t>
      </w:r>
      <w:r>
        <w:rPr>
          <w:rFonts w:ascii="Arial" w:eastAsia="Arial" w:hAnsi="Arial" w:cs="Arial"/>
          <w:color w:val="333333"/>
        </w:rPr>
        <w:t>klimaticky najhoršieho paliva</w:t>
      </w:r>
      <w:r>
        <w:rPr>
          <w:rFonts w:ascii="Arial" w:eastAsia="Arial" w:hAnsi="Arial" w:cs="Arial"/>
        </w:rPr>
        <w:t xml:space="preserve"> </w:t>
      </w:r>
      <w:r>
        <w:rPr>
          <w:rFonts w:ascii="Arial" w:eastAsia="Arial" w:hAnsi="Arial" w:cs="Arial"/>
          <w:color w:val="000000"/>
        </w:rPr>
        <w:t xml:space="preserve">počas ďalších piatich rokov </w:t>
      </w:r>
      <w:r>
        <w:rPr>
          <w:rFonts w:ascii="Arial" w:eastAsia="Arial" w:hAnsi="Arial" w:cs="Arial"/>
        </w:rPr>
        <w:t>je v priamom</w:t>
      </w:r>
      <w:r>
        <w:rPr>
          <w:rFonts w:ascii="Arial" w:eastAsia="Arial" w:hAnsi="Arial" w:cs="Arial"/>
          <w:color w:val="000000"/>
        </w:rPr>
        <w:t xml:space="preserve"> v rozpore s cieľmi balíčk</w:t>
      </w:r>
      <w:r>
        <w:rPr>
          <w:rFonts w:ascii="Arial" w:eastAsia="Arial" w:hAnsi="Arial" w:cs="Arial"/>
        </w:rPr>
        <w:t>a</w:t>
      </w:r>
      <w:r>
        <w:rPr>
          <w:rFonts w:ascii="Arial" w:eastAsia="Arial" w:hAnsi="Arial" w:cs="Arial"/>
          <w:color w:val="000000"/>
        </w:rPr>
        <w:t xml:space="preserve"> “Čistá energia pre všetkých“. Cieľmi iniciatívy je </w:t>
      </w:r>
      <w:r>
        <w:rPr>
          <w:rFonts w:ascii="Arial" w:eastAsia="Arial" w:hAnsi="Arial" w:cs="Arial"/>
          <w:color w:val="000000"/>
          <w:highlight w:val="white"/>
        </w:rPr>
        <w:t>urobiť z energetickej efektívnosti prioritu, dosiahnuť celosvetové vedúce postavenie v oblasti energie z obnoviteľných zdrojov a zabezpečiť spotrebiteľom spravodlivé podmienky.</w:t>
      </w:r>
      <w:r>
        <w:rPr>
          <w:rFonts w:ascii="Arial" w:eastAsia="Arial" w:hAnsi="Arial" w:cs="Arial"/>
          <w:color w:val="000000"/>
        </w:rPr>
        <w:t xml:space="preserve"> </w:t>
      </w:r>
    </w:p>
    <w:p w:rsidR="00181C6D" w:rsidRDefault="00181C6D" w:rsidP="00181C6D">
      <w:pPr>
        <w:pBdr>
          <w:top w:val="nil"/>
          <w:left w:val="nil"/>
          <w:bottom w:val="nil"/>
          <w:right w:val="nil"/>
          <w:between w:val="nil"/>
        </w:pBdr>
        <w:shd w:val="clear" w:color="auto" w:fill="FFFFFF"/>
        <w:spacing w:before="100" w:after="142" w:line="240" w:lineRule="auto"/>
        <w:jc w:val="both"/>
        <w:rPr>
          <w:rFonts w:ascii="Arial" w:eastAsia="Arial" w:hAnsi="Arial" w:cs="Arial"/>
          <w:b/>
          <w:color w:val="000000"/>
        </w:rPr>
      </w:pPr>
      <w:r>
        <w:rPr>
          <w:rFonts w:ascii="Arial" w:eastAsia="Arial" w:hAnsi="Arial" w:cs="Arial"/>
          <w:b/>
          <w:color w:val="000000"/>
        </w:rPr>
        <w:t>Pripomienka je zásadná</w:t>
      </w:r>
    </w:p>
    <w:p w:rsidR="00181C6D" w:rsidRDefault="00181C6D" w:rsidP="00181C6D">
      <w:pPr>
        <w:pBdr>
          <w:top w:val="nil"/>
          <w:left w:val="nil"/>
          <w:bottom w:val="nil"/>
          <w:right w:val="nil"/>
          <w:between w:val="nil"/>
        </w:pBdr>
        <w:shd w:val="clear" w:color="auto" w:fill="FFFFFF"/>
        <w:spacing w:before="100" w:after="142" w:line="240" w:lineRule="auto"/>
        <w:jc w:val="both"/>
        <w:rPr>
          <w:rFonts w:ascii="Arial" w:eastAsia="Arial" w:hAnsi="Arial" w:cs="Arial"/>
        </w:rPr>
      </w:pPr>
    </w:p>
    <w:p w:rsidR="00181C6D" w:rsidRDefault="00181C6D" w:rsidP="00181C6D">
      <w:pPr>
        <w:pBdr>
          <w:top w:val="nil"/>
          <w:left w:val="nil"/>
          <w:bottom w:val="nil"/>
          <w:right w:val="nil"/>
          <w:between w:val="nil"/>
        </w:pBdr>
        <w:shd w:val="clear" w:color="auto" w:fill="FFFFFF"/>
        <w:spacing w:before="100" w:after="142" w:line="240" w:lineRule="auto"/>
        <w:jc w:val="both"/>
        <w:rPr>
          <w:rFonts w:ascii="Arial" w:eastAsia="Arial" w:hAnsi="Arial" w:cs="Arial"/>
        </w:rPr>
      </w:pPr>
    </w:p>
    <w:p w:rsidR="00181C6D" w:rsidRDefault="00181C6D" w:rsidP="00181C6D">
      <w:pPr>
        <w:pBdr>
          <w:top w:val="nil"/>
          <w:left w:val="nil"/>
          <w:bottom w:val="nil"/>
          <w:right w:val="nil"/>
          <w:between w:val="nil"/>
        </w:pBdr>
        <w:shd w:val="clear" w:color="auto" w:fill="FFFFFF"/>
        <w:spacing w:before="100" w:after="142" w:line="240" w:lineRule="auto"/>
        <w:jc w:val="both"/>
        <w:rPr>
          <w:rFonts w:ascii="Arial" w:eastAsia="Arial" w:hAnsi="Arial" w:cs="Arial"/>
        </w:rPr>
      </w:pPr>
    </w:p>
    <w:p w:rsidR="00181C6D" w:rsidRDefault="00181C6D" w:rsidP="00181C6D">
      <w:pPr>
        <w:pBdr>
          <w:top w:val="nil"/>
          <w:left w:val="nil"/>
          <w:bottom w:val="nil"/>
          <w:right w:val="nil"/>
          <w:between w:val="nil"/>
        </w:pBdr>
        <w:shd w:val="clear" w:color="auto" w:fill="FFFFFF"/>
        <w:spacing w:before="100" w:after="142" w:line="240" w:lineRule="auto"/>
        <w:jc w:val="both"/>
        <w:rPr>
          <w:rFonts w:ascii="Arial" w:eastAsia="Arial" w:hAnsi="Arial" w:cs="Arial"/>
        </w:rPr>
      </w:pPr>
    </w:p>
    <w:p w:rsidR="00181C6D" w:rsidRDefault="00181C6D" w:rsidP="00181C6D">
      <w:pPr>
        <w:numPr>
          <w:ilvl w:val="0"/>
          <w:numId w:val="1"/>
        </w:numPr>
        <w:pBdr>
          <w:top w:val="nil"/>
          <w:left w:val="nil"/>
          <w:bottom w:val="nil"/>
          <w:right w:val="nil"/>
          <w:between w:val="nil"/>
        </w:pBdr>
        <w:spacing w:before="240" w:after="0" w:line="276" w:lineRule="auto"/>
        <w:contextualSpacing/>
        <w:jc w:val="both"/>
        <w:rPr>
          <w:rFonts w:ascii="Arial" w:eastAsia="Arial" w:hAnsi="Arial" w:cs="Arial"/>
          <w:b/>
          <w:color w:val="000000"/>
        </w:rPr>
      </w:pPr>
      <w:r>
        <w:rPr>
          <w:rFonts w:ascii="Arial" w:eastAsia="Arial" w:hAnsi="Arial" w:cs="Arial"/>
          <w:b/>
          <w:color w:val="000000"/>
        </w:rPr>
        <w:t>Pripomienka k bodu:</w:t>
      </w:r>
    </w:p>
    <w:p w:rsidR="00181C6D" w:rsidRDefault="00181C6D" w:rsidP="00181C6D">
      <w:pPr>
        <w:spacing w:after="0" w:line="276" w:lineRule="auto"/>
        <w:jc w:val="both"/>
        <w:rPr>
          <w:rFonts w:ascii="Arial" w:eastAsia="Arial" w:hAnsi="Arial" w:cs="Arial"/>
          <w:b/>
        </w:rPr>
      </w:pPr>
    </w:p>
    <w:p w:rsidR="00181C6D" w:rsidRDefault="00181C6D" w:rsidP="00181C6D">
      <w:pPr>
        <w:spacing w:after="330" w:line="276" w:lineRule="auto"/>
        <w:jc w:val="both"/>
        <w:rPr>
          <w:rFonts w:ascii="Arial" w:eastAsia="Arial" w:hAnsi="Arial" w:cs="Arial"/>
        </w:rPr>
      </w:pPr>
      <w:r>
        <w:rPr>
          <w:rFonts w:ascii="Arial" w:eastAsia="Arial" w:hAnsi="Arial" w:cs="Arial"/>
        </w:rPr>
        <w:t>Str. 8</w:t>
      </w:r>
      <w:r>
        <w:rPr>
          <w:rFonts w:ascii="Arial" w:eastAsia="Arial" w:hAnsi="Arial" w:cs="Arial"/>
          <w:b/>
        </w:rPr>
        <w:t xml:space="preserve"> </w:t>
      </w:r>
      <w:r>
        <w:rPr>
          <w:rFonts w:ascii="Arial" w:eastAsia="Arial" w:hAnsi="Arial" w:cs="Arial"/>
          <w:b/>
          <w:color w:val="000000"/>
        </w:rPr>
        <w:t>Pôvodné znenie</w:t>
      </w:r>
      <w:r>
        <w:rPr>
          <w:rFonts w:ascii="Arial" w:eastAsia="Arial" w:hAnsi="Arial" w:cs="Arial"/>
          <w:color w:val="000000"/>
        </w:rPr>
        <w:t> </w:t>
      </w:r>
      <w:r>
        <w:rPr>
          <w:rFonts w:ascii="Arial" w:eastAsia="Arial" w:hAnsi="Arial" w:cs="Arial"/>
        </w:rPr>
        <w:t xml:space="preserve">V súvislosti s ťažbou hnedého uhlia a lignitu je potrebné uviesť nasledovnú legislatívu EÚ a legislatívu SR: Rozhodnutie Rady z 10. decembra 2010 o štátnej pomoci na uľahčenie zatvorenia uhoľných baní neschopných konkurencie (2010/787/EÚ). </w:t>
      </w:r>
    </w:p>
    <w:p w:rsidR="00181C6D" w:rsidRDefault="00181C6D" w:rsidP="00181C6D">
      <w:pPr>
        <w:spacing w:after="330" w:line="276" w:lineRule="auto"/>
        <w:jc w:val="both"/>
        <w:rPr>
          <w:rFonts w:ascii="Arial" w:eastAsia="Arial" w:hAnsi="Arial" w:cs="Arial"/>
        </w:rPr>
      </w:pPr>
      <w:r>
        <w:rPr>
          <w:rFonts w:ascii="Arial" w:eastAsia="Arial" w:hAnsi="Arial" w:cs="Arial"/>
          <w:color w:val="000000"/>
        </w:rPr>
        <w:t xml:space="preserve">Navrhujeme toto rozhodnutie nebrať do úvahy ako </w:t>
      </w:r>
      <w:r>
        <w:rPr>
          <w:rFonts w:ascii="Arial" w:eastAsia="Arial" w:hAnsi="Arial" w:cs="Arial"/>
        </w:rPr>
        <w:t>možnosť dotácie na spoluúčasť pri úhrade sociálnych vplyvov útlmu banskej činnosti.</w:t>
      </w:r>
    </w:p>
    <w:p w:rsidR="00181C6D" w:rsidRDefault="00181C6D" w:rsidP="00181C6D">
      <w:pPr>
        <w:pBdr>
          <w:top w:val="nil"/>
          <w:left w:val="nil"/>
          <w:bottom w:val="nil"/>
          <w:right w:val="nil"/>
          <w:between w:val="nil"/>
        </w:pBdr>
        <w:shd w:val="clear" w:color="auto" w:fill="FFFFFF"/>
        <w:spacing w:before="100" w:after="0" w:line="276" w:lineRule="auto"/>
        <w:jc w:val="both"/>
        <w:rPr>
          <w:rFonts w:ascii="Arial" w:eastAsia="Arial" w:hAnsi="Arial" w:cs="Arial"/>
          <w:color w:val="000000"/>
        </w:rPr>
      </w:pPr>
      <w:r>
        <w:rPr>
          <w:rFonts w:ascii="Arial" w:eastAsia="Arial" w:hAnsi="Arial" w:cs="Arial"/>
          <w:b/>
          <w:color w:val="000000"/>
        </w:rPr>
        <w:t>Odôvodnenie:</w:t>
      </w:r>
    </w:p>
    <w:p w:rsidR="00181C6D" w:rsidRDefault="00181C6D" w:rsidP="00181C6D">
      <w:pPr>
        <w:pBdr>
          <w:top w:val="nil"/>
          <w:left w:val="nil"/>
          <w:bottom w:val="nil"/>
          <w:right w:val="nil"/>
          <w:between w:val="nil"/>
        </w:pBdr>
        <w:shd w:val="clear" w:color="auto" w:fill="FFFFFF"/>
        <w:spacing w:before="240" w:after="0" w:line="276" w:lineRule="auto"/>
        <w:jc w:val="both"/>
        <w:rPr>
          <w:rFonts w:ascii="Arial" w:eastAsia="Arial" w:hAnsi="Arial" w:cs="Arial"/>
          <w:b/>
          <w:color w:val="000000"/>
        </w:rPr>
      </w:pPr>
      <w:r>
        <w:rPr>
          <w:rFonts w:ascii="Arial" w:eastAsia="Arial" w:hAnsi="Arial" w:cs="Arial"/>
          <w:color w:val="000000"/>
        </w:rPr>
        <w:t>Rozhodnutie Rady 2010/787/EÚ (2)  hovorí toto: „prevádzka dotknutých uhoľných výrobných jednotiek musí byť súčasťou plánu zatvorenia, ktorý sa má vykonať do 31. decembra 2018;“</w:t>
      </w:r>
      <w:r>
        <w:rPr>
          <w:rFonts w:ascii="Arial" w:eastAsia="Arial" w:hAnsi="Arial" w:cs="Arial"/>
          <w:color w:val="000000"/>
        </w:rPr>
        <w:br/>
        <w:t xml:space="preserve">Plán zatvorenia uhoľných baní sa na Slovensku do konca roka 2018 nevykoná. </w:t>
      </w:r>
      <w:r>
        <w:rPr>
          <w:rFonts w:ascii="Arial" w:eastAsia="Arial" w:hAnsi="Arial" w:cs="Arial"/>
          <w:color w:val="000000"/>
        </w:rPr>
        <w:br/>
      </w:r>
    </w:p>
    <w:p w:rsidR="00181C6D" w:rsidRDefault="00181C6D" w:rsidP="00181C6D">
      <w:pPr>
        <w:pBdr>
          <w:top w:val="nil"/>
          <w:left w:val="nil"/>
          <w:bottom w:val="nil"/>
          <w:right w:val="nil"/>
          <w:between w:val="nil"/>
        </w:pBdr>
        <w:shd w:val="clear" w:color="auto" w:fill="FFFFFF"/>
        <w:spacing w:before="100" w:after="142" w:line="240" w:lineRule="auto"/>
        <w:jc w:val="both"/>
        <w:rPr>
          <w:rFonts w:ascii="Arial" w:eastAsia="Arial" w:hAnsi="Arial" w:cs="Arial"/>
          <w:color w:val="000000"/>
        </w:rPr>
      </w:pPr>
      <w:r>
        <w:rPr>
          <w:rFonts w:ascii="Arial" w:eastAsia="Arial" w:hAnsi="Arial" w:cs="Arial"/>
          <w:b/>
          <w:color w:val="000000"/>
        </w:rPr>
        <w:t>Pripomienka je zásadná</w:t>
      </w:r>
    </w:p>
    <w:p w:rsidR="00181C6D" w:rsidRDefault="00181C6D" w:rsidP="00181C6D">
      <w:pPr>
        <w:spacing w:after="0" w:line="276" w:lineRule="auto"/>
        <w:jc w:val="both"/>
        <w:rPr>
          <w:rFonts w:ascii="Arial" w:eastAsia="Arial" w:hAnsi="Arial" w:cs="Arial"/>
          <w:b/>
        </w:rPr>
      </w:pPr>
    </w:p>
    <w:p w:rsidR="00181C6D" w:rsidRDefault="00181C6D" w:rsidP="00181C6D">
      <w:pPr>
        <w:numPr>
          <w:ilvl w:val="0"/>
          <w:numId w:val="1"/>
        </w:numPr>
        <w:pBdr>
          <w:top w:val="nil"/>
          <w:left w:val="nil"/>
          <w:bottom w:val="nil"/>
          <w:right w:val="nil"/>
          <w:between w:val="nil"/>
        </w:pBdr>
        <w:ind w:left="284"/>
        <w:contextualSpacing/>
        <w:jc w:val="both"/>
        <w:rPr>
          <w:rFonts w:ascii="Arial" w:eastAsia="Arial" w:hAnsi="Arial" w:cs="Arial"/>
          <w:b/>
          <w:color w:val="000000"/>
        </w:rPr>
      </w:pPr>
      <w:r>
        <w:rPr>
          <w:rFonts w:ascii="Arial" w:eastAsia="Arial" w:hAnsi="Arial" w:cs="Arial"/>
          <w:b/>
          <w:color w:val="000000"/>
        </w:rPr>
        <w:t xml:space="preserve">Trváme na tom, aby bolo v dokumente jednoznačne uvedené nepovolenie rozšírenia ťažby </w:t>
      </w:r>
    </w:p>
    <w:p w:rsidR="00181C6D" w:rsidRDefault="00181C6D" w:rsidP="00181C6D">
      <w:pPr>
        <w:jc w:val="both"/>
        <w:rPr>
          <w:rFonts w:ascii="Arial" w:eastAsia="Arial" w:hAnsi="Arial" w:cs="Arial"/>
          <w:b/>
          <w:color w:val="000000"/>
        </w:rPr>
      </w:pPr>
      <w:r>
        <w:rPr>
          <w:rFonts w:ascii="Arial" w:eastAsia="Arial" w:hAnsi="Arial" w:cs="Arial"/>
          <w:b/>
          <w:color w:val="000000"/>
        </w:rPr>
        <w:t>Odôvodnenie:</w:t>
      </w:r>
    </w:p>
    <w:p w:rsidR="00181C6D" w:rsidRDefault="00181C6D" w:rsidP="00181C6D">
      <w:pPr>
        <w:jc w:val="both"/>
        <w:rPr>
          <w:rFonts w:ascii="Arial" w:eastAsia="Arial" w:hAnsi="Arial" w:cs="Arial"/>
        </w:rPr>
      </w:pPr>
      <w:r>
        <w:rPr>
          <w:rFonts w:ascii="Arial" w:eastAsia="Arial" w:hAnsi="Arial" w:cs="Arial"/>
          <w:color w:val="000000"/>
        </w:rPr>
        <w:t xml:space="preserve">V dokumente nie je transparentne uvedené, akým spôsobom dôjde </w:t>
      </w:r>
      <w:r>
        <w:rPr>
          <w:rFonts w:ascii="Arial" w:eastAsia="Arial" w:hAnsi="Arial" w:cs="Arial"/>
        </w:rPr>
        <w:t xml:space="preserve">k „riadenému postupnému skoršiemu odrúbavaniu zásob uhlia (útlmu) a k predčasnému ukončeniu jednotlivých ťažobných polí“. Pre útlm je nevyhnutné postupné znižovanie ťažby a spaľovania  uhlia až na nulu. Akékoľvek rozširovanie a urýchľovanie ťažby a spaľovania uhlia je v rozpore s transformáciou regiónu. </w:t>
      </w:r>
    </w:p>
    <w:p w:rsidR="00181C6D" w:rsidRDefault="00181C6D" w:rsidP="00181C6D">
      <w:pPr>
        <w:pBdr>
          <w:top w:val="nil"/>
          <w:left w:val="nil"/>
          <w:bottom w:val="nil"/>
          <w:right w:val="nil"/>
          <w:between w:val="nil"/>
        </w:pBdr>
        <w:shd w:val="clear" w:color="auto" w:fill="FFFFFF"/>
        <w:spacing w:before="100" w:after="142" w:line="240" w:lineRule="auto"/>
        <w:jc w:val="both"/>
        <w:rPr>
          <w:rFonts w:ascii="Arial" w:eastAsia="Arial" w:hAnsi="Arial" w:cs="Arial"/>
          <w:color w:val="000000"/>
        </w:rPr>
      </w:pPr>
      <w:r>
        <w:rPr>
          <w:rFonts w:ascii="Arial" w:eastAsia="Arial" w:hAnsi="Arial" w:cs="Arial"/>
          <w:b/>
          <w:color w:val="000000"/>
        </w:rPr>
        <w:t>Pripomienka je zásadná</w:t>
      </w:r>
    </w:p>
    <w:p w:rsidR="00181C6D" w:rsidRDefault="00181C6D" w:rsidP="00181C6D">
      <w:pPr>
        <w:jc w:val="both"/>
        <w:rPr>
          <w:rFonts w:ascii="Arial" w:eastAsia="Arial" w:hAnsi="Arial" w:cs="Arial"/>
          <w:color w:val="000000"/>
        </w:rPr>
      </w:pPr>
    </w:p>
    <w:p w:rsidR="00181C6D" w:rsidRDefault="00181C6D" w:rsidP="00181C6D">
      <w:pPr>
        <w:numPr>
          <w:ilvl w:val="0"/>
          <w:numId w:val="1"/>
        </w:numPr>
        <w:pBdr>
          <w:top w:val="nil"/>
          <w:left w:val="nil"/>
          <w:bottom w:val="nil"/>
          <w:right w:val="nil"/>
          <w:between w:val="nil"/>
        </w:pBdr>
        <w:ind w:left="284"/>
        <w:contextualSpacing/>
        <w:jc w:val="both"/>
        <w:rPr>
          <w:rFonts w:ascii="Arial" w:eastAsia="Arial" w:hAnsi="Arial" w:cs="Arial"/>
          <w:b/>
          <w:color w:val="000000"/>
        </w:rPr>
      </w:pPr>
      <w:r>
        <w:rPr>
          <w:rFonts w:ascii="Arial" w:eastAsia="Arial" w:hAnsi="Arial" w:cs="Arial"/>
          <w:b/>
        </w:rPr>
        <w:lastRenderedPageBreak/>
        <w:t>Požadujeme prehodnotiť odôvodnenosť a trvanie Všeobecného hospodárskeho záujmu navrhnutého v dokumente kvôli bezpečnosti dodávky elektriny v uzlovej oblasti Bystričany výrobou elektriny blokmi 1 a 2 a blokom A tepelnej elektrárne Nováky</w:t>
      </w:r>
    </w:p>
    <w:p w:rsidR="00181C6D" w:rsidRDefault="00181C6D" w:rsidP="00181C6D">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Str. 18 </w:t>
      </w:r>
      <w:r>
        <w:rPr>
          <w:rFonts w:ascii="Arial" w:eastAsia="Arial" w:hAnsi="Arial" w:cs="Arial"/>
          <w:b/>
          <w:color w:val="000000"/>
        </w:rPr>
        <w:t>Pôvodné znenie:</w:t>
      </w:r>
      <w:r>
        <w:rPr>
          <w:rFonts w:ascii="Arial" w:eastAsia="Arial" w:hAnsi="Arial" w:cs="Arial"/>
          <w:color w:val="000000"/>
        </w:rPr>
        <w:t xml:space="preserve"> Trvanie VHZ sa plánuje zaviesť do ukončenia a uvedenia do trvalej prevádzky projektu plánovaného zvýšenia výkonu elektrizačnej sústavy v uzlovej oblasti Bystričany uvedeného v bode 2.2.2.1 tejto analýzy po dobu, po ktorú budú bloky 1 a 2 a blok A tepelnej elektrárne Nováky spĺňať podmienky platných predpisov na ochranu životného prostredia, v každom prípade však najneskôr do konca roka 2023. </w:t>
      </w:r>
    </w:p>
    <w:p w:rsidR="00181C6D" w:rsidRDefault="00181C6D" w:rsidP="00181C6D">
      <w:pPr>
        <w:ind w:left="360"/>
        <w:jc w:val="both"/>
        <w:rPr>
          <w:rFonts w:ascii="Arial" w:eastAsia="Arial" w:hAnsi="Arial" w:cs="Arial"/>
          <w:b/>
          <w:sz w:val="20"/>
          <w:szCs w:val="20"/>
        </w:rPr>
      </w:pPr>
      <w:r>
        <w:rPr>
          <w:rFonts w:ascii="Arial" w:eastAsia="Arial" w:hAnsi="Arial" w:cs="Arial"/>
          <w:b/>
          <w:sz w:val="20"/>
          <w:szCs w:val="20"/>
        </w:rPr>
        <w:t>Odôvodnenie</w:t>
      </w:r>
    </w:p>
    <w:p w:rsidR="00181C6D" w:rsidRDefault="00181C6D" w:rsidP="00181C6D">
      <w:pPr>
        <w:jc w:val="both"/>
        <w:rPr>
          <w:rFonts w:ascii="Arial" w:eastAsia="Arial" w:hAnsi="Arial" w:cs="Arial"/>
        </w:rPr>
      </w:pPr>
      <w:r>
        <w:rPr>
          <w:rFonts w:ascii="Arial" w:eastAsia="Arial" w:hAnsi="Arial" w:cs="Arial"/>
        </w:rPr>
        <w:t>Návrh VHZ je postavnený na probléme so zabezpečením dodávok elektriny v uzlovej oblasti Bystričany. Energetici sa vyjadrili, že sústava zvláda časté poruchy i dlhšie odstávky elektrárne Nováky. Prevádzku sústavy má vo výlučnej kompetencii spoločnosť SEPS, ktorá ju riadi ako jeden celok. Z pohľadu výroby a predaja elektriny je krátkodobé odstávky možné nahradiť využitím kapacít viacerých zdrojov, vodných aj tepelných elektrární (3).</w:t>
      </w:r>
    </w:p>
    <w:p w:rsidR="00181C6D" w:rsidRDefault="00181C6D" w:rsidP="00181C6D">
      <w:pPr>
        <w:jc w:val="both"/>
        <w:rPr>
          <w:rFonts w:ascii="Arial" w:eastAsia="Arial" w:hAnsi="Arial" w:cs="Arial"/>
        </w:rPr>
      </w:pPr>
    </w:p>
    <w:p w:rsidR="00181C6D" w:rsidRDefault="00181C6D" w:rsidP="00181C6D">
      <w:pPr>
        <w:ind w:left="425" w:hanging="425"/>
        <w:jc w:val="both"/>
        <w:rPr>
          <w:rFonts w:ascii="Arial" w:eastAsia="Arial" w:hAnsi="Arial" w:cs="Arial"/>
          <w:b/>
        </w:rPr>
      </w:pPr>
      <w:r>
        <w:rPr>
          <w:rFonts w:ascii="Arial" w:eastAsia="Arial" w:hAnsi="Arial" w:cs="Arial"/>
          <w:b/>
        </w:rPr>
        <w:t xml:space="preserve">9.  V nadväznosti na postupné znižovanie ťažby a spaľovania uhlia navrhujeme na základe banského zákona </w:t>
      </w:r>
      <w:r>
        <w:rPr>
          <w:rFonts w:ascii="Arial" w:eastAsia="Arial" w:hAnsi="Arial" w:cs="Arial"/>
          <w:b/>
          <w:color w:val="070707"/>
        </w:rPr>
        <w:t xml:space="preserve">č. 44/1988 Zb. </w:t>
      </w:r>
      <w:r>
        <w:rPr>
          <w:rFonts w:ascii="Arial" w:eastAsia="Arial" w:hAnsi="Arial" w:cs="Arial"/>
          <w:b/>
        </w:rPr>
        <w:t>odpísať zásoby nevyťažených bilančných zásob</w:t>
      </w:r>
    </w:p>
    <w:p w:rsidR="00181C6D" w:rsidRDefault="00181C6D" w:rsidP="00181C6D">
      <w:pPr>
        <w:jc w:val="both"/>
        <w:rPr>
          <w:rFonts w:ascii="Arial" w:eastAsia="Arial" w:hAnsi="Arial" w:cs="Arial"/>
          <w:b/>
        </w:rPr>
      </w:pPr>
      <w:r>
        <w:rPr>
          <w:rFonts w:ascii="Arial" w:eastAsia="Arial" w:hAnsi="Arial" w:cs="Arial"/>
          <w:b/>
        </w:rPr>
        <w:t>Odôvodnenie:</w:t>
      </w:r>
    </w:p>
    <w:p w:rsidR="00181C6D" w:rsidRDefault="00181C6D" w:rsidP="00181C6D">
      <w:pPr>
        <w:jc w:val="both"/>
        <w:rPr>
          <w:rFonts w:ascii="Arial" w:eastAsia="Arial" w:hAnsi="Arial" w:cs="Arial"/>
        </w:rPr>
      </w:pPr>
      <w:r>
        <w:rPr>
          <w:rFonts w:ascii="Arial" w:eastAsia="Arial" w:hAnsi="Arial" w:cs="Arial"/>
        </w:rPr>
        <w:t xml:space="preserve">Na základe banského zákona </w:t>
      </w:r>
      <w:r>
        <w:rPr>
          <w:rFonts w:ascii="Arial" w:eastAsia="Arial" w:hAnsi="Arial" w:cs="Arial"/>
          <w:color w:val="070707"/>
        </w:rPr>
        <w:t>č. 44/1988 Zb. § 14a ods 2 pism c “</w:t>
      </w:r>
      <w:r>
        <w:rPr>
          <w:rFonts w:ascii="Arial" w:eastAsia="Arial" w:hAnsi="Arial" w:cs="Arial"/>
        </w:rPr>
        <w:t xml:space="preserve">Zásoby výhradného ložiska možno odpísať c) vtedy, ak ide o zásoby, ktorých dobývanie by ohrozilo dôležité verejné záujmy, najmä ochranu životného prostredia, a význam ochrany prevyšuje záujem na vydobytí týchto zásob význam ochrany prevyšujúcej záujem na vydobytí týchto zásob preukáže príslušné ministerstvo obvodnému banskému úradu prostredníctvom Ministerstva hospodárstva Slovenskej republiky.” </w:t>
      </w:r>
    </w:p>
    <w:p w:rsidR="00181C6D" w:rsidRDefault="00181C6D" w:rsidP="00181C6D">
      <w:pPr>
        <w:jc w:val="both"/>
        <w:rPr>
          <w:rFonts w:ascii="Arial" w:eastAsia="Arial" w:hAnsi="Arial" w:cs="Arial"/>
        </w:rPr>
      </w:pPr>
      <w:r>
        <w:rPr>
          <w:rFonts w:ascii="Arial" w:eastAsia="Arial" w:hAnsi="Arial" w:cs="Arial"/>
        </w:rPr>
        <w:t>Podľa dokumentu sa má harmonogram trvania ťažby uhlia firmou HBP skrátiť, ale ťažba bude mať rovnaký rozsah ako bolo plánované pôvodne. Environmentálna záťaž z ťažby bude teda rovnaká. Znečistenie ovzdušia zo spaľovania uhlia a s tým spojené dôsledky na zdravie ľudí  budú opäť rovnaké ako doteraz.</w:t>
      </w:r>
    </w:p>
    <w:p w:rsidR="00181C6D" w:rsidRDefault="00181C6D" w:rsidP="00181C6D">
      <w:pPr>
        <w:jc w:val="both"/>
        <w:rPr>
          <w:rFonts w:ascii="Arial" w:eastAsia="Arial" w:hAnsi="Arial" w:cs="Arial"/>
        </w:rPr>
      </w:pPr>
    </w:p>
    <w:p w:rsidR="00181C6D" w:rsidRDefault="00181C6D" w:rsidP="00181C6D">
      <w:pPr>
        <w:ind w:left="360"/>
        <w:jc w:val="both"/>
        <w:rPr>
          <w:rFonts w:ascii="Arial" w:eastAsia="Arial" w:hAnsi="Arial" w:cs="Arial"/>
        </w:rPr>
      </w:pPr>
    </w:p>
    <w:p w:rsidR="00181C6D" w:rsidRDefault="00181C6D" w:rsidP="00181C6D">
      <w:pPr>
        <w:ind w:left="-218"/>
        <w:jc w:val="both"/>
        <w:rPr>
          <w:rFonts w:ascii="Arial" w:eastAsia="Arial" w:hAnsi="Arial" w:cs="Arial"/>
        </w:rPr>
      </w:pPr>
      <w:r>
        <w:rPr>
          <w:rFonts w:ascii="Arial" w:eastAsia="Arial" w:hAnsi="Arial" w:cs="Arial"/>
        </w:rPr>
        <w:t>Lýdia Kňazovičová, Priatelia Zeme-CEPA</w:t>
      </w:r>
    </w:p>
    <w:p w:rsidR="00181C6D" w:rsidRDefault="00181C6D" w:rsidP="00181C6D">
      <w:pPr>
        <w:ind w:left="-218"/>
        <w:jc w:val="both"/>
        <w:rPr>
          <w:rFonts w:ascii="Arial" w:eastAsia="Arial" w:hAnsi="Arial" w:cs="Arial"/>
        </w:rPr>
      </w:pPr>
      <w:r>
        <w:rPr>
          <w:rFonts w:ascii="Arial" w:eastAsia="Arial" w:hAnsi="Arial" w:cs="Arial"/>
        </w:rPr>
        <w:t>Juraj Melichár, CEE Bankwatch Network</w:t>
      </w:r>
    </w:p>
    <w:p w:rsidR="00181C6D" w:rsidRDefault="00181C6D" w:rsidP="00181C6D">
      <w:pPr>
        <w:ind w:left="-218"/>
        <w:jc w:val="both"/>
        <w:rPr>
          <w:rFonts w:ascii="Arial" w:eastAsia="Arial" w:hAnsi="Arial" w:cs="Arial"/>
        </w:rPr>
      </w:pPr>
      <w:r>
        <w:rPr>
          <w:rFonts w:ascii="Arial" w:eastAsia="Arial" w:hAnsi="Arial" w:cs="Arial"/>
        </w:rPr>
        <w:t>Lenka Ilčíková, Priatelia Zeme-CEPA</w:t>
      </w:r>
    </w:p>
    <w:p w:rsidR="00181C6D" w:rsidRDefault="00181C6D" w:rsidP="00181C6D">
      <w:pPr>
        <w:ind w:left="-218"/>
        <w:jc w:val="both"/>
        <w:rPr>
          <w:rFonts w:ascii="Arial" w:eastAsia="Arial" w:hAnsi="Arial" w:cs="Arial"/>
        </w:rPr>
      </w:pPr>
    </w:p>
    <w:p w:rsidR="00181C6D" w:rsidRDefault="00181C6D" w:rsidP="00181C6D">
      <w:pPr>
        <w:ind w:left="-218"/>
        <w:jc w:val="both"/>
        <w:rPr>
          <w:rFonts w:ascii="Arial" w:eastAsia="Arial" w:hAnsi="Arial" w:cs="Arial"/>
        </w:rPr>
      </w:pPr>
      <w:r>
        <w:rPr>
          <w:rFonts w:ascii="Arial" w:eastAsia="Arial" w:hAnsi="Arial" w:cs="Arial"/>
        </w:rPr>
        <w:t>Zdroje:</w:t>
      </w:r>
    </w:p>
    <w:p w:rsidR="00181C6D" w:rsidRDefault="00181C6D" w:rsidP="00181C6D">
      <w:pPr>
        <w:numPr>
          <w:ilvl w:val="0"/>
          <w:numId w:val="2"/>
        </w:numPr>
        <w:contextualSpacing/>
        <w:jc w:val="both"/>
        <w:rPr>
          <w:rFonts w:ascii="Arial" w:eastAsia="Arial" w:hAnsi="Arial" w:cs="Arial"/>
        </w:rPr>
      </w:pPr>
      <w:hyperlink r:id="rId7">
        <w:r>
          <w:rPr>
            <w:rFonts w:ascii="Arial" w:eastAsia="Arial" w:hAnsi="Arial" w:cs="Arial"/>
            <w:color w:val="1155CC"/>
            <w:u w:val="single"/>
          </w:rPr>
          <w:t>https://euractiv.sk/section/klima/opinion/ak-prestaneme-dotovat-uhlie-do-roku-2021-usetrime-ludom-345-milionov-eur/</w:t>
        </w:r>
      </w:hyperlink>
    </w:p>
    <w:p w:rsidR="00181C6D" w:rsidRDefault="00181C6D" w:rsidP="00181C6D">
      <w:pPr>
        <w:numPr>
          <w:ilvl w:val="0"/>
          <w:numId w:val="2"/>
        </w:numPr>
        <w:shd w:val="clear" w:color="auto" w:fill="FFFFFF"/>
        <w:spacing w:before="240" w:after="0" w:line="360" w:lineRule="auto"/>
        <w:jc w:val="both"/>
        <w:rPr>
          <w:rFonts w:ascii="Arial" w:eastAsia="Arial" w:hAnsi="Arial" w:cs="Arial"/>
        </w:rPr>
      </w:pPr>
      <w:hyperlink r:id="rId8">
        <w:r>
          <w:rPr>
            <w:rFonts w:ascii="Arial" w:eastAsia="Arial" w:hAnsi="Arial" w:cs="Arial"/>
            <w:color w:val="1155CC"/>
            <w:u w:val="single"/>
          </w:rPr>
          <w:t>https://eur-lex.europa.eu/legal-content/EN/TXT/?uri=CELEX%3A32010D0787</w:t>
        </w:r>
      </w:hyperlink>
    </w:p>
    <w:p w:rsidR="00BA5930" w:rsidRPr="00181C6D" w:rsidRDefault="00181C6D" w:rsidP="00181C6D">
      <w:pPr>
        <w:numPr>
          <w:ilvl w:val="0"/>
          <w:numId w:val="2"/>
        </w:numPr>
        <w:jc w:val="both"/>
        <w:rPr>
          <w:rFonts w:ascii="Arial" w:eastAsia="Arial" w:hAnsi="Arial" w:cs="Arial"/>
        </w:rPr>
      </w:pPr>
      <w:r>
        <w:rPr>
          <w:rFonts w:ascii="Arial" w:eastAsia="Arial" w:hAnsi="Arial" w:cs="Arial"/>
        </w:rPr>
        <w:t>energia.sk</w:t>
      </w:r>
    </w:p>
    <w:sectPr w:rsidR="00BA5930" w:rsidRPr="00181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218F"/>
    <w:multiLevelType w:val="multilevel"/>
    <w:tmpl w:val="4EB4D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F7901E4"/>
    <w:multiLevelType w:val="multilevel"/>
    <w:tmpl w:val="5DA63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6D"/>
    <w:rsid w:val="000C41C9"/>
    <w:rsid w:val="00181C6D"/>
    <w:rsid w:val="007620BD"/>
    <w:rsid w:val="009C1195"/>
    <w:rsid w:val="00A12C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81C6D"/>
    <w:pPr>
      <w:spacing w:after="160" w:line="259" w:lineRule="auto"/>
    </w:pPr>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81C6D"/>
    <w:pPr>
      <w:spacing w:after="160" w:line="259" w:lineRule="auto"/>
    </w:pPr>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0D0787" TargetMode="External"/><Relationship Id="rId3" Type="http://schemas.microsoft.com/office/2007/relationships/stylesWithEffects" Target="stylesWithEffects.xml"/><Relationship Id="rId7" Type="http://schemas.openxmlformats.org/officeDocument/2006/relationships/hyperlink" Target="https://euractiv.sk/section/klima/opinion/ak-prestaneme-dotovat-uhlie-do-roku-2021-usetrime-ludom-345-milionov-e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activ.sk/section/klima/opinion/ak-prestaneme-dotovat-uhlie-do-roku-2021-usetrime-ludom-345-milionov-eu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 Priezvisko</dc:creator>
  <cp:lastModifiedBy>Meno Priezvisko</cp:lastModifiedBy>
  <cp:revision>1</cp:revision>
  <dcterms:created xsi:type="dcterms:W3CDTF">2018-12-03T09:00:00Z</dcterms:created>
  <dcterms:modified xsi:type="dcterms:W3CDTF">2018-12-03T09:01:00Z</dcterms:modified>
</cp:coreProperties>
</file>